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Pr="00097531" w:rsidRDefault="00097531" w:rsidP="00CC7D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Course of Co-opting</w:t>
      </w:r>
    </w:p>
    <w:p w:rsidR="00097531" w:rsidRPr="00097531" w:rsidRDefault="00097531" w:rsidP="00CC7D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Author Name(s)</w:t>
      </w:r>
    </w:p>
    <w:p w:rsidR="00097531" w:rsidRPr="00097531" w:rsidRDefault="00097531" w:rsidP="00CC7D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097531" w:rsidRDefault="00097531" w:rsidP="00CC7D2F">
      <w:pPr>
        <w:spacing w:line="480" w:lineRule="auto"/>
        <w:ind w:firstLine="720"/>
        <w:jc w:val="center"/>
        <w:rPr>
          <w:rFonts w:ascii="Times New Roman" w:hAnsi="Times New Roman" w:cs="Times New Roman"/>
          <w:b/>
          <w:sz w:val="24"/>
          <w:szCs w:val="24"/>
        </w:rPr>
      </w:pPr>
    </w:p>
    <w:p w:rsidR="00C64AC5" w:rsidRDefault="00CC7D2F" w:rsidP="00C64AC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The Course of Co-opting</w:t>
      </w:r>
    </w:p>
    <w:p w:rsidR="00C64AC5" w:rsidRPr="00C64AC5" w:rsidRDefault="00C64AC5" w:rsidP="00C64AC5">
      <w:pPr>
        <w:pStyle w:val="ListParagraph"/>
        <w:numPr>
          <w:ilvl w:val="0"/>
          <w:numId w:val="1"/>
        </w:numPr>
        <w:spacing w:line="480" w:lineRule="auto"/>
        <w:rPr>
          <w:rFonts w:ascii="Times New Roman" w:hAnsi="Times New Roman" w:cs="Times New Roman"/>
          <w:b/>
          <w:sz w:val="24"/>
          <w:szCs w:val="24"/>
        </w:rPr>
      </w:pPr>
      <w:r w:rsidRPr="00C64AC5">
        <w:rPr>
          <w:rFonts w:ascii="Times New Roman" w:hAnsi="Times New Roman" w:cs="Times New Roman"/>
          <w:b/>
          <w:sz w:val="24"/>
          <w:szCs w:val="24"/>
        </w:rPr>
        <w:t>Importance of the Protections Granted to a Holder in Due Course</w:t>
      </w:r>
    </w:p>
    <w:p w:rsidR="004011A0" w:rsidRDefault="005942DF" w:rsidP="00C64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advantages a holder in due course gets in times of disputes or problems. First, any existing prior parties are entitled to remain liable to the holder in due course to the point where the instrument attains its satisfaction. It is the duty of the holder in due course, alongside the prior parties, to ensure that his/her name remains included in the action that he/she takes. Second, when the parties’ liabilities are finally closed, the instrument is said to be satisfied.</w:t>
      </w:r>
      <w:r w:rsidR="00C64AC5">
        <w:rPr>
          <w:rFonts w:ascii="Times New Roman" w:hAnsi="Times New Roman" w:cs="Times New Roman"/>
          <w:sz w:val="24"/>
          <w:szCs w:val="24"/>
        </w:rPr>
        <w:t xml:space="preserve"> </w:t>
      </w:r>
      <w:r>
        <w:rPr>
          <w:rFonts w:ascii="Times New Roman" w:hAnsi="Times New Roman" w:cs="Times New Roman"/>
          <w:sz w:val="24"/>
          <w:szCs w:val="24"/>
        </w:rPr>
        <w:t>Another instance that leads to the satisfaction of the instrument is when it receives authori</w:t>
      </w:r>
      <w:r w:rsidR="001A5F1E">
        <w:rPr>
          <w:rFonts w:ascii="Times New Roman" w:hAnsi="Times New Roman" w:cs="Times New Roman"/>
          <w:sz w:val="24"/>
          <w:szCs w:val="24"/>
        </w:rPr>
        <w:t>z</w:t>
      </w:r>
      <w:r>
        <w:rPr>
          <w:rFonts w:ascii="Times New Roman" w:hAnsi="Times New Roman" w:cs="Times New Roman"/>
          <w:sz w:val="24"/>
          <w:szCs w:val="24"/>
        </w:rPr>
        <w:t>ation to be released through it</w:t>
      </w:r>
      <w:r w:rsidR="001A5F1E">
        <w:rPr>
          <w:rFonts w:ascii="Times New Roman" w:hAnsi="Times New Roman" w:cs="Times New Roman"/>
          <w:sz w:val="24"/>
          <w:szCs w:val="24"/>
        </w:rPr>
        <w:t>s</w:t>
      </w:r>
      <w:r>
        <w:rPr>
          <w:rFonts w:ascii="Times New Roman" w:hAnsi="Times New Roman" w:cs="Times New Roman"/>
          <w:sz w:val="24"/>
          <w:szCs w:val="24"/>
        </w:rPr>
        <w:t xml:space="preserve"> final payment. One importance of these protections is that at the time when there is </w:t>
      </w:r>
      <w:r w:rsidR="001A5F1E">
        <w:rPr>
          <w:rFonts w:ascii="Times New Roman" w:hAnsi="Times New Roman" w:cs="Times New Roman"/>
          <w:sz w:val="24"/>
          <w:szCs w:val="24"/>
        </w:rPr>
        <w:t>dishonour</w:t>
      </w:r>
      <w:r>
        <w:rPr>
          <w:rFonts w:ascii="Times New Roman" w:hAnsi="Times New Roman" w:cs="Times New Roman"/>
          <w:sz w:val="24"/>
          <w:szCs w:val="24"/>
        </w:rPr>
        <w:t xml:space="preserve">, the holder in due course is not entitled to subject all their priority parties to a lawsuit. Instead, he can choose the prior parties who would bear the responsibility of giving back the amount </w:t>
      </w:r>
      <w:r w:rsidR="001A5F1E">
        <w:rPr>
          <w:rFonts w:ascii="Times New Roman" w:hAnsi="Times New Roman" w:cs="Times New Roman"/>
          <w:sz w:val="24"/>
          <w:szCs w:val="24"/>
        </w:rPr>
        <w:t>dishonoured</w:t>
      </w:r>
      <w:r>
        <w:rPr>
          <w:rFonts w:ascii="Times New Roman" w:hAnsi="Times New Roman" w:cs="Times New Roman"/>
          <w:sz w:val="24"/>
          <w:szCs w:val="24"/>
        </w:rPr>
        <w:t>. Another advantage is that an acceptor does not have any ability to hold a case against the holder in due course in an instance of a bill being named falsely.</w:t>
      </w:r>
    </w:p>
    <w:p w:rsidR="00C64AC5" w:rsidRPr="00C64AC5" w:rsidRDefault="00C64AC5" w:rsidP="00C64AC5">
      <w:pPr>
        <w:pStyle w:val="ListParagraph"/>
        <w:numPr>
          <w:ilvl w:val="0"/>
          <w:numId w:val="1"/>
        </w:numPr>
        <w:spacing w:line="480" w:lineRule="auto"/>
        <w:rPr>
          <w:rFonts w:ascii="Times New Roman" w:hAnsi="Times New Roman" w:cs="Times New Roman"/>
          <w:b/>
          <w:sz w:val="24"/>
          <w:szCs w:val="24"/>
        </w:rPr>
      </w:pPr>
      <w:r w:rsidRPr="00C64AC5">
        <w:rPr>
          <w:rFonts w:ascii="Times New Roman" w:hAnsi="Times New Roman" w:cs="Times New Roman"/>
          <w:b/>
          <w:sz w:val="24"/>
          <w:szCs w:val="24"/>
        </w:rPr>
        <w:t>Attaining Promissory Relief from a Bank Loan</w:t>
      </w:r>
    </w:p>
    <w:p w:rsidR="005942DF" w:rsidRDefault="00092EF1" w:rsidP="00092EF1">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promissory note refers to a document showing an agreement between parties for the payment of a particular amount of money. The payment is to be done after the details of the agreement are met to the satisfaction of each of the parties. The type of promissory note that involves Hilda is the commercial promissory note. The expectations were that the home improvement company would refurbish Hilda’s home to her satisfaction. Unfortunately, this did not happen</w:t>
      </w:r>
      <w:r w:rsidR="001A5F1E">
        <w:rPr>
          <w:rFonts w:ascii="Times New Roman" w:hAnsi="Times New Roman" w:cs="Times New Roman"/>
          <w:sz w:val="24"/>
          <w:szCs w:val="24"/>
        </w:rPr>
        <w:t>,</w:t>
      </w:r>
      <w:r>
        <w:rPr>
          <w:rFonts w:ascii="Times New Roman" w:hAnsi="Times New Roman" w:cs="Times New Roman"/>
          <w:sz w:val="24"/>
          <w:szCs w:val="24"/>
        </w:rPr>
        <w:t xml:space="preserve"> thereby leading to a breach of the contract. The bank claims the money from Hilda through grounds of defaulting the promissory note</w:t>
      </w:r>
      <w:r w:rsidR="001A5F1E">
        <w:rPr>
          <w:rFonts w:ascii="Times New Roman" w:hAnsi="Times New Roman" w:cs="Times New Roman"/>
          <w:sz w:val="24"/>
          <w:szCs w:val="24"/>
        </w:rPr>
        <w:t>,</w:t>
      </w:r>
      <w:r>
        <w:rPr>
          <w:rFonts w:ascii="Times New Roman" w:hAnsi="Times New Roman" w:cs="Times New Roman"/>
          <w:sz w:val="24"/>
          <w:szCs w:val="24"/>
        </w:rPr>
        <w:t xml:space="preserve"> but this accusation is false. Characteristics of a breached contract involve the borrower being unable to raise the required funds to sort the loan. Hilda is capable of making the payment</w:t>
      </w:r>
      <w:r w:rsidR="001A5F1E">
        <w:rPr>
          <w:rFonts w:ascii="Times New Roman" w:hAnsi="Times New Roman" w:cs="Times New Roman"/>
          <w:sz w:val="24"/>
          <w:szCs w:val="24"/>
        </w:rPr>
        <w:t>,</w:t>
      </w:r>
      <w:r>
        <w:rPr>
          <w:rFonts w:ascii="Times New Roman" w:hAnsi="Times New Roman" w:cs="Times New Roman"/>
          <w:sz w:val="24"/>
          <w:szCs w:val="24"/>
        </w:rPr>
        <w:t xml:space="preserve"> but she chooses not to. The </w:t>
      </w:r>
      <w:r>
        <w:rPr>
          <w:rFonts w:ascii="Times New Roman" w:hAnsi="Times New Roman" w:cs="Times New Roman"/>
          <w:sz w:val="24"/>
          <w:szCs w:val="24"/>
        </w:rPr>
        <w:lastRenderedPageBreak/>
        <w:t>conflict</w:t>
      </w:r>
      <w:r w:rsidR="001A5F1E">
        <w:rPr>
          <w:rFonts w:ascii="Times New Roman" w:hAnsi="Times New Roman" w:cs="Times New Roman"/>
          <w:sz w:val="24"/>
          <w:szCs w:val="24"/>
        </w:rPr>
        <w:t>, therefore,</w:t>
      </w:r>
      <w:r>
        <w:rPr>
          <w:rFonts w:ascii="Times New Roman" w:hAnsi="Times New Roman" w:cs="Times New Roman"/>
          <w:sz w:val="24"/>
          <w:szCs w:val="24"/>
        </w:rPr>
        <w:t xml:space="preserve"> relieves her of obligations to pay the bank unless the bank ensures that the improvement company meets their end of the agreement.</w:t>
      </w:r>
    </w:p>
    <w:p w:rsidR="00C64AC5" w:rsidRPr="00C64AC5" w:rsidRDefault="00C64AC5" w:rsidP="00C64AC5">
      <w:pPr>
        <w:pStyle w:val="ListParagraph"/>
        <w:numPr>
          <w:ilvl w:val="0"/>
          <w:numId w:val="1"/>
        </w:numPr>
        <w:spacing w:line="480" w:lineRule="auto"/>
        <w:rPr>
          <w:rFonts w:ascii="Times New Roman" w:hAnsi="Times New Roman" w:cs="Times New Roman"/>
          <w:b/>
          <w:sz w:val="24"/>
          <w:szCs w:val="24"/>
        </w:rPr>
      </w:pPr>
      <w:r w:rsidRPr="00C64AC5">
        <w:rPr>
          <w:rFonts w:ascii="Times New Roman" w:hAnsi="Times New Roman" w:cs="Times New Roman"/>
          <w:b/>
          <w:sz w:val="24"/>
          <w:szCs w:val="24"/>
        </w:rPr>
        <w:t>Good Faith and Absence of a Notice as Channels of Becoming a True Holder</w:t>
      </w:r>
    </w:p>
    <w:p w:rsidR="00092EF1" w:rsidRDefault="007E61E5" w:rsidP="00092EF1">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requirement for holding a due course is the maintenance of good faith when purchasing. There are no laws that have been enacted to show where the level ascertained begins and where it ends when adhering to good faith. Good faith can be convicted on the grounds of the ability of an individual to identify the presence of invalidity</w:t>
      </w:r>
      <w:r w:rsidR="00C64AC5" w:rsidRPr="00C64AC5">
        <w:t xml:space="preserve"> </w:t>
      </w:r>
      <w:r w:rsidR="00C64AC5">
        <w:rPr>
          <w:rFonts w:ascii="Times New Roman" w:hAnsi="Times New Roman" w:cs="Times New Roman"/>
          <w:sz w:val="24"/>
          <w:szCs w:val="24"/>
        </w:rPr>
        <w:t>(</w:t>
      </w:r>
      <w:proofErr w:type="spellStart"/>
      <w:r w:rsidR="00C64AC5">
        <w:rPr>
          <w:rFonts w:ascii="Times New Roman" w:hAnsi="Times New Roman" w:cs="Times New Roman"/>
          <w:sz w:val="24"/>
          <w:szCs w:val="24"/>
        </w:rPr>
        <w:t>Abrol</w:t>
      </w:r>
      <w:proofErr w:type="spellEnd"/>
      <w:r w:rsidR="00C64AC5">
        <w:rPr>
          <w:rFonts w:ascii="Times New Roman" w:hAnsi="Times New Roman" w:cs="Times New Roman"/>
          <w:sz w:val="24"/>
          <w:szCs w:val="24"/>
        </w:rPr>
        <w:t>, 2019)</w:t>
      </w:r>
      <w:r>
        <w:rPr>
          <w:rFonts w:ascii="Times New Roman" w:hAnsi="Times New Roman" w:cs="Times New Roman"/>
          <w:sz w:val="24"/>
          <w:szCs w:val="24"/>
        </w:rPr>
        <w:t>. In the occurrence that the individual believes so contrary to known facts, then bad faith exists. A holder in due course can</w:t>
      </w:r>
      <w:r w:rsidR="001A5F1E">
        <w:rPr>
          <w:rFonts w:ascii="Times New Roman" w:hAnsi="Times New Roman" w:cs="Times New Roman"/>
          <w:sz w:val="24"/>
          <w:szCs w:val="24"/>
        </w:rPr>
        <w:t>, therefore,</w:t>
      </w:r>
      <w:r>
        <w:rPr>
          <w:rFonts w:ascii="Times New Roman" w:hAnsi="Times New Roman" w:cs="Times New Roman"/>
          <w:sz w:val="24"/>
          <w:szCs w:val="24"/>
        </w:rPr>
        <w:t xml:space="preserve"> become a true holder depending on his ability to identify invalidity on an objective standard. In the case where </w:t>
      </w:r>
      <w:r w:rsidR="001A5F1E">
        <w:rPr>
          <w:rFonts w:ascii="Times New Roman" w:hAnsi="Times New Roman" w:cs="Times New Roman"/>
          <w:sz w:val="24"/>
          <w:szCs w:val="24"/>
        </w:rPr>
        <w:t>notice is absent</w:t>
      </w:r>
      <w:r>
        <w:rPr>
          <w:rFonts w:ascii="Times New Roman" w:hAnsi="Times New Roman" w:cs="Times New Roman"/>
          <w:sz w:val="24"/>
          <w:szCs w:val="24"/>
        </w:rPr>
        <w:t>, the holder can assume partial ownership until a review of the case is conducted</w:t>
      </w:r>
      <w:r w:rsidR="001A5F1E">
        <w:rPr>
          <w:rFonts w:ascii="Times New Roman" w:hAnsi="Times New Roman" w:cs="Times New Roman"/>
          <w:sz w:val="24"/>
          <w:szCs w:val="24"/>
        </w:rPr>
        <w:t>,</w:t>
      </w:r>
      <w:r>
        <w:rPr>
          <w:rFonts w:ascii="Times New Roman" w:hAnsi="Times New Roman" w:cs="Times New Roman"/>
          <w:sz w:val="24"/>
          <w:szCs w:val="24"/>
        </w:rPr>
        <w:t xml:space="preserve"> and a valid conclusion attained.</w:t>
      </w:r>
    </w:p>
    <w:p w:rsidR="00C64AC5" w:rsidRPr="00C64AC5" w:rsidRDefault="00C64AC5" w:rsidP="00C64AC5">
      <w:pPr>
        <w:pStyle w:val="ListParagraph"/>
        <w:numPr>
          <w:ilvl w:val="0"/>
          <w:numId w:val="1"/>
        </w:numPr>
        <w:spacing w:line="480" w:lineRule="auto"/>
        <w:rPr>
          <w:rFonts w:ascii="Times New Roman" w:hAnsi="Times New Roman" w:cs="Times New Roman"/>
          <w:b/>
          <w:sz w:val="24"/>
          <w:szCs w:val="24"/>
        </w:rPr>
      </w:pPr>
      <w:r w:rsidRPr="00C64AC5">
        <w:rPr>
          <w:rFonts w:ascii="Times New Roman" w:hAnsi="Times New Roman" w:cs="Times New Roman"/>
          <w:b/>
          <w:sz w:val="24"/>
          <w:szCs w:val="24"/>
        </w:rPr>
        <w:t>Promissory Rights Under The Federal Trade Commission</w:t>
      </w:r>
    </w:p>
    <w:p w:rsidR="007E61E5" w:rsidRDefault="00AC6009" w:rsidP="00092E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 common practice that promissory notes be included </w:t>
      </w:r>
      <w:r w:rsidR="001A5F1E">
        <w:rPr>
          <w:rFonts w:ascii="Times New Roman" w:hAnsi="Times New Roman" w:cs="Times New Roman"/>
          <w:sz w:val="24"/>
          <w:szCs w:val="24"/>
        </w:rPr>
        <w:t>at</w:t>
      </w:r>
      <w:r>
        <w:rPr>
          <w:rFonts w:ascii="Times New Roman" w:hAnsi="Times New Roman" w:cs="Times New Roman"/>
          <w:sz w:val="24"/>
          <w:szCs w:val="24"/>
        </w:rPr>
        <w:t xml:space="preserve"> the end of the contract of sales through the means of perforation. Once the consumer is happy with the terms, he signs it</w:t>
      </w:r>
      <w:r w:rsidR="001A5F1E">
        <w:rPr>
          <w:rFonts w:ascii="Times New Roman" w:hAnsi="Times New Roman" w:cs="Times New Roman"/>
          <w:sz w:val="24"/>
          <w:szCs w:val="24"/>
        </w:rPr>
        <w:t>,</w:t>
      </w:r>
      <w:r>
        <w:rPr>
          <w:rFonts w:ascii="Times New Roman" w:hAnsi="Times New Roman" w:cs="Times New Roman"/>
          <w:sz w:val="24"/>
          <w:szCs w:val="24"/>
        </w:rPr>
        <w:t xml:space="preserve"> and it gets to be sold out to the person offering the finance. In this case, the terms of </w:t>
      </w:r>
      <w:r w:rsidR="001A5F1E">
        <w:rPr>
          <w:rFonts w:ascii="Times New Roman" w:hAnsi="Times New Roman" w:cs="Times New Roman"/>
          <w:sz w:val="24"/>
          <w:szCs w:val="24"/>
        </w:rPr>
        <w:t xml:space="preserve">the </w:t>
      </w:r>
      <w:r>
        <w:rPr>
          <w:rFonts w:ascii="Times New Roman" w:hAnsi="Times New Roman" w:cs="Times New Roman"/>
          <w:sz w:val="24"/>
          <w:szCs w:val="24"/>
        </w:rPr>
        <w:t xml:space="preserve">agreement must have indicated payment upon delivery of the commodity. </w:t>
      </w:r>
      <w:r w:rsidR="001A5F1E">
        <w:rPr>
          <w:rFonts w:ascii="Times New Roman" w:hAnsi="Times New Roman" w:cs="Times New Roman"/>
          <w:sz w:val="24"/>
          <w:szCs w:val="24"/>
        </w:rPr>
        <w:t>Fortunately,</w:t>
      </w:r>
      <w:r>
        <w:rPr>
          <w:rFonts w:ascii="Times New Roman" w:hAnsi="Times New Roman" w:cs="Times New Roman"/>
          <w:sz w:val="24"/>
          <w:szCs w:val="24"/>
        </w:rPr>
        <w:t xml:space="preserve"> the buyer received the commodity</w:t>
      </w:r>
      <w:r w:rsidR="001A5F1E">
        <w:rPr>
          <w:rFonts w:ascii="Times New Roman" w:hAnsi="Times New Roman" w:cs="Times New Roman"/>
          <w:sz w:val="24"/>
          <w:szCs w:val="24"/>
        </w:rPr>
        <w:t>,</w:t>
      </w:r>
      <w:r>
        <w:rPr>
          <w:rFonts w:ascii="Times New Roman" w:hAnsi="Times New Roman" w:cs="Times New Roman"/>
          <w:sz w:val="24"/>
          <w:szCs w:val="24"/>
        </w:rPr>
        <w:t xml:space="preserve"> and he</w:t>
      </w:r>
      <w:r w:rsidR="001A5F1E">
        <w:rPr>
          <w:rFonts w:ascii="Times New Roman" w:hAnsi="Times New Roman" w:cs="Times New Roman"/>
          <w:sz w:val="24"/>
          <w:szCs w:val="24"/>
        </w:rPr>
        <w:t>, therefore,</w:t>
      </w:r>
      <w:r>
        <w:rPr>
          <w:rFonts w:ascii="Times New Roman" w:hAnsi="Times New Roman" w:cs="Times New Roman"/>
          <w:sz w:val="24"/>
          <w:szCs w:val="24"/>
        </w:rPr>
        <w:t xml:space="preserve"> obliged to make the payment to the bank. In any case</w:t>
      </w:r>
      <w:r w:rsidR="001A5F1E">
        <w:rPr>
          <w:rFonts w:ascii="Times New Roman" w:hAnsi="Times New Roman" w:cs="Times New Roman"/>
          <w:sz w:val="24"/>
          <w:szCs w:val="24"/>
        </w:rPr>
        <w:t>,</w:t>
      </w:r>
      <w:r>
        <w:rPr>
          <w:rFonts w:ascii="Times New Roman" w:hAnsi="Times New Roman" w:cs="Times New Roman"/>
          <w:sz w:val="24"/>
          <w:szCs w:val="24"/>
        </w:rPr>
        <w:t xml:space="preserve"> the borrower intends to file a real case, his rights under the Federal Trade Commission advi</w:t>
      </w:r>
      <w:r w:rsidR="001A5F1E">
        <w:rPr>
          <w:rFonts w:ascii="Times New Roman" w:hAnsi="Times New Roman" w:cs="Times New Roman"/>
          <w:sz w:val="24"/>
          <w:szCs w:val="24"/>
        </w:rPr>
        <w:t>s</w:t>
      </w:r>
      <w:r>
        <w:rPr>
          <w:rFonts w:ascii="Times New Roman" w:hAnsi="Times New Roman" w:cs="Times New Roman"/>
          <w:sz w:val="24"/>
          <w:szCs w:val="24"/>
        </w:rPr>
        <w:t>e him to seek a lawsuit under the Uniform Commercial Code enumeration.</w:t>
      </w:r>
    </w:p>
    <w:p w:rsidR="00C64AC5" w:rsidRPr="00C64AC5" w:rsidRDefault="00C64AC5" w:rsidP="00C64AC5">
      <w:pPr>
        <w:pStyle w:val="ListParagraph"/>
        <w:numPr>
          <w:ilvl w:val="0"/>
          <w:numId w:val="1"/>
        </w:numPr>
        <w:spacing w:line="480" w:lineRule="auto"/>
        <w:rPr>
          <w:rFonts w:ascii="Times New Roman" w:hAnsi="Times New Roman" w:cs="Times New Roman"/>
          <w:b/>
          <w:sz w:val="24"/>
          <w:szCs w:val="24"/>
        </w:rPr>
      </w:pPr>
      <w:r w:rsidRPr="00C64AC5">
        <w:rPr>
          <w:rFonts w:ascii="Times New Roman" w:hAnsi="Times New Roman" w:cs="Times New Roman"/>
          <w:b/>
          <w:sz w:val="24"/>
          <w:szCs w:val="24"/>
        </w:rPr>
        <w:t>Financial Instruments in Relation to an Agent’s Personal Liability</w:t>
      </w:r>
    </w:p>
    <w:p w:rsidR="00D85480" w:rsidRDefault="00D85480" w:rsidP="00092E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way of identifying whether a principal is capable of achieving liability to the contract is </w:t>
      </w:r>
      <w:r w:rsidR="001A5F1E">
        <w:rPr>
          <w:rFonts w:ascii="Times New Roman" w:hAnsi="Times New Roman" w:cs="Times New Roman"/>
          <w:sz w:val="24"/>
          <w:szCs w:val="24"/>
        </w:rPr>
        <w:t xml:space="preserve">the </w:t>
      </w:r>
      <w:r>
        <w:rPr>
          <w:rFonts w:ascii="Times New Roman" w:hAnsi="Times New Roman" w:cs="Times New Roman"/>
          <w:sz w:val="24"/>
          <w:szCs w:val="24"/>
        </w:rPr>
        <w:t xml:space="preserve">authority. In a case where the principal was aware that upon following his instructions by the agent would bring harm, then he would be liable. Contrary to this condition, the principal would not </w:t>
      </w:r>
      <w:r w:rsidR="001A5F1E">
        <w:rPr>
          <w:rFonts w:ascii="Times New Roman" w:hAnsi="Times New Roman" w:cs="Times New Roman"/>
          <w:sz w:val="24"/>
          <w:szCs w:val="24"/>
        </w:rPr>
        <w:t xml:space="preserve">be </w:t>
      </w:r>
      <w:r>
        <w:rPr>
          <w:rFonts w:ascii="Times New Roman" w:hAnsi="Times New Roman" w:cs="Times New Roman"/>
          <w:sz w:val="24"/>
          <w:szCs w:val="24"/>
        </w:rPr>
        <w:t xml:space="preserve">subjected to provide answers. The agency gives </w:t>
      </w:r>
      <w:r>
        <w:rPr>
          <w:rFonts w:ascii="Times New Roman" w:hAnsi="Times New Roman" w:cs="Times New Roman"/>
          <w:sz w:val="24"/>
          <w:szCs w:val="24"/>
        </w:rPr>
        <w:lastRenderedPageBreak/>
        <w:t>authority to the agent when negotiating for a financial instrument in a case where the principal is not subject to any liability.</w:t>
      </w:r>
    </w:p>
    <w:p w:rsidR="00EA2BDB" w:rsidRDefault="00EA2BDB" w:rsidP="00092EF1">
      <w:pPr>
        <w:spacing w:line="480" w:lineRule="auto"/>
        <w:ind w:firstLine="720"/>
        <w:rPr>
          <w:rFonts w:ascii="Times New Roman" w:hAnsi="Times New Roman" w:cs="Times New Roman"/>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097531">
      <w:pPr>
        <w:spacing w:line="480" w:lineRule="auto"/>
        <w:jc w:val="center"/>
        <w:rPr>
          <w:rFonts w:ascii="Times New Roman" w:hAnsi="Times New Roman" w:cs="Times New Roman"/>
          <w:b/>
          <w:sz w:val="24"/>
          <w:szCs w:val="24"/>
        </w:rPr>
      </w:pPr>
    </w:p>
    <w:p w:rsidR="00C64AC5" w:rsidRDefault="00C64AC5" w:rsidP="005A445B">
      <w:pPr>
        <w:spacing w:after="0" w:line="480" w:lineRule="auto"/>
        <w:contextualSpacing/>
        <w:jc w:val="center"/>
        <w:rPr>
          <w:rFonts w:ascii="Times New Roman" w:hAnsi="Times New Roman" w:cs="Times New Roman"/>
          <w:b/>
          <w:sz w:val="24"/>
          <w:szCs w:val="24"/>
        </w:rPr>
      </w:pPr>
    </w:p>
    <w:p w:rsidR="00EA2BDB" w:rsidRPr="005A445B" w:rsidRDefault="00EA2BDB" w:rsidP="005A445B">
      <w:pPr>
        <w:spacing w:after="0" w:line="480" w:lineRule="auto"/>
        <w:contextualSpacing/>
        <w:jc w:val="center"/>
        <w:rPr>
          <w:rFonts w:ascii="Times New Roman" w:hAnsi="Times New Roman" w:cs="Times New Roman"/>
          <w:sz w:val="24"/>
          <w:szCs w:val="24"/>
        </w:rPr>
      </w:pPr>
      <w:r w:rsidRPr="005A445B">
        <w:rPr>
          <w:rFonts w:ascii="Times New Roman" w:hAnsi="Times New Roman" w:cs="Times New Roman"/>
          <w:sz w:val="24"/>
          <w:szCs w:val="24"/>
        </w:rPr>
        <w:lastRenderedPageBreak/>
        <w:t>References</w:t>
      </w:r>
    </w:p>
    <w:p w:rsidR="00D85480" w:rsidRDefault="00D85480" w:rsidP="005A445B">
      <w:pPr>
        <w:spacing w:after="0" w:line="480" w:lineRule="auto"/>
        <w:ind w:left="720" w:hanging="720"/>
        <w:contextualSpacing/>
        <w:rPr>
          <w:rFonts w:ascii="Times New Roman" w:hAnsi="Times New Roman" w:cs="Times New Roman"/>
          <w:sz w:val="24"/>
          <w:szCs w:val="24"/>
        </w:rPr>
      </w:pPr>
      <w:proofErr w:type="spellStart"/>
      <w:r w:rsidRPr="00D85480">
        <w:rPr>
          <w:rFonts w:ascii="Times New Roman" w:hAnsi="Times New Roman" w:cs="Times New Roman"/>
          <w:sz w:val="24"/>
          <w:szCs w:val="24"/>
        </w:rPr>
        <w:t>Abrol</w:t>
      </w:r>
      <w:proofErr w:type="spellEnd"/>
      <w:r w:rsidRPr="00D85480">
        <w:rPr>
          <w:rFonts w:ascii="Times New Roman" w:hAnsi="Times New Roman" w:cs="Times New Roman"/>
          <w:sz w:val="24"/>
          <w:szCs w:val="24"/>
        </w:rPr>
        <w:t>, D. P. (2</w:t>
      </w:r>
      <w:bookmarkStart w:id="0" w:name="_GoBack"/>
      <w:bookmarkEnd w:id="0"/>
      <w:r w:rsidRPr="00D85480">
        <w:rPr>
          <w:rFonts w:ascii="Times New Roman" w:hAnsi="Times New Roman" w:cs="Times New Roman"/>
          <w:sz w:val="24"/>
          <w:szCs w:val="24"/>
        </w:rPr>
        <w:t xml:space="preserve">019). Quality of </w:t>
      </w:r>
      <w:proofErr w:type="spellStart"/>
      <w:r w:rsidRPr="00D85480">
        <w:rPr>
          <w:rFonts w:ascii="Times New Roman" w:hAnsi="Times New Roman" w:cs="Times New Roman"/>
          <w:sz w:val="24"/>
          <w:szCs w:val="24"/>
        </w:rPr>
        <w:t>Ph</w:t>
      </w:r>
      <w:proofErr w:type="spellEnd"/>
      <w:r w:rsidRPr="00D85480">
        <w:rPr>
          <w:rFonts w:ascii="Times New Roman" w:hAnsi="Times New Roman" w:cs="Times New Roman"/>
          <w:sz w:val="24"/>
          <w:szCs w:val="24"/>
        </w:rPr>
        <w:t xml:space="preserve"> D degree holders in India. CURRENT SCIENCE, 116(4), 512-512.</w:t>
      </w:r>
    </w:p>
    <w:p w:rsidR="00D85480" w:rsidRPr="005942DF" w:rsidRDefault="00D85480" w:rsidP="005A445B">
      <w:pPr>
        <w:spacing w:after="0" w:line="480" w:lineRule="auto"/>
        <w:ind w:left="720" w:hanging="720"/>
        <w:contextualSpacing/>
        <w:rPr>
          <w:rFonts w:ascii="Times New Roman" w:hAnsi="Times New Roman" w:cs="Times New Roman"/>
          <w:sz w:val="24"/>
          <w:szCs w:val="24"/>
        </w:rPr>
      </w:pPr>
      <w:proofErr w:type="spellStart"/>
      <w:r w:rsidRPr="00D85480">
        <w:rPr>
          <w:rFonts w:ascii="Times New Roman" w:hAnsi="Times New Roman" w:cs="Times New Roman"/>
          <w:sz w:val="24"/>
          <w:szCs w:val="24"/>
        </w:rPr>
        <w:t>Kitzen</w:t>
      </w:r>
      <w:proofErr w:type="spellEnd"/>
      <w:r w:rsidRPr="00D85480">
        <w:rPr>
          <w:rFonts w:ascii="Times New Roman" w:hAnsi="Times New Roman" w:cs="Times New Roman"/>
          <w:sz w:val="24"/>
          <w:szCs w:val="24"/>
        </w:rPr>
        <w:t xml:space="preserve">, M. W. M. (2016). The Course of Co-option. Co-option of local power-holders as a tool for obtaining control over the population in counterinsurgency campaigns in </w:t>
      </w:r>
      <w:proofErr w:type="spellStart"/>
      <w:r w:rsidRPr="00D85480">
        <w:rPr>
          <w:rFonts w:ascii="Times New Roman" w:hAnsi="Times New Roman" w:cs="Times New Roman"/>
          <w:sz w:val="24"/>
          <w:szCs w:val="24"/>
        </w:rPr>
        <w:t>weblike</w:t>
      </w:r>
      <w:proofErr w:type="spellEnd"/>
      <w:r w:rsidRPr="00D85480">
        <w:rPr>
          <w:rFonts w:ascii="Times New Roman" w:hAnsi="Times New Roman" w:cs="Times New Roman"/>
          <w:sz w:val="24"/>
          <w:szCs w:val="24"/>
        </w:rPr>
        <w:t xml:space="preserve"> societies.</w:t>
      </w:r>
    </w:p>
    <w:sectPr w:rsidR="00D85480" w:rsidRPr="005942DF" w:rsidSect="00097531">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FD3" w:rsidRDefault="00CB7FD3" w:rsidP="00097531">
      <w:pPr>
        <w:spacing w:after="0" w:line="240" w:lineRule="auto"/>
      </w:pPr>
      <w:r>
        <w:separator/>
      </w:r>
    </w:p>
  </w:endnote>
  <w:endnote w:type="continuationSeparator" w:id="0">
    <w:p w:rsidR="00CB7FD3" w:rsidRDefault="00CB7FD3" w:rsidP="00097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FD3" w:rsidRDefault="00CB7FD3" w:rsidP="00097531">
      <w:pPr>
        <w:spacing w:after="0" w:line="240" w:lineRule="auto"/>
      </w:pPr>
      <w:r>
        <w:separator/>
      </w:r>
    </w:p>
  </w:footnote>
  <w:footnote w:type="continuationSeparator" w:id="0">
    <w:p w:rsidR="00CB7FD3" w:rsidRDefault="00CB7FD3" w:rsidP="000975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531" w:rsidRPr="00097531" w:rsidRDefault="00097531">
    <w:pPr>
      <w:pStyle w:val="Header"/>
      <w:rPr>
        <w:rFonts w:ascii="Times New Roman" w:hAnsi="Times New Roman" w:cs="Times New Roman"/>
        <w:sz w:val="24"/>
        <w:szCs w:val="24"/>
      </w:rPr>
    </w:pPr>
    <w:r w:rsidRPr="00097531">
      <w:rPr>
        <w:rFonts w:ascii="Times New Roman" w:hAnsi="Times New Roman" w:cs="Times New Roman"/>
        <w:sz w:val="24"/>
        <w:szCs w:val="24"/>
      </w:rPr>
      <w:t>THE COURSE OF CO-OPTING</w:t>
    </w:r>
  </w:p>
  <w:p w:rsidR="00097531" w:rsidRDefault="000975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531" w:rsidRPr="00097531" w:rsidRDefault="00097531">
    <w:pPr>
      <w:pStyle w:val="Header"/>
      <w:rPr>
        <w:rFonts w:ascii="Times New Roman" w:hAnsi="Times New Roman" w:cs="Times New Roman"/>
        <w:sz w:val="24"/>
        <w:szCs w:val="24"/>
      </w:rPr>
    </w:pPr>
    <w:r w:rsidRPr="00097531">
      <w:rPr>
        <w:rFonts w:ascii="Times New Roman" w:hAnsi="Times New Roman" w:cs="Times New Roman"/>
        <w:sz w:val="24"/>
        <w:szCs w:val="24"/>
      </w:rPr>
      <w:t>Running head: THE COURSE OF CO-OPTING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42BAE"/>
    <w:multiLevelType w:val="hybridMultilevel"/>
    <w:tmpl w:val="CA26C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A0NDExNjKxsDQwMjVQ0lEKTi0uzszPAykwrgUAHaHwNywAAAA="/>
  </w:docVars>
  <w:rsids>
    <w:rsidRoot w:val="005942DF"/>
    <w:rsid w:val="0003647E"/>
    <w:rsid w:val="00092EF1"/>
    <w:rsid w:val="00097531"/>
    <w:rsid w:val="00160160"/>
    <w:rsid w:val="001A5F1E"/>
    <w:rsid w:val="004011A0"/>
    <w:rsid w:val="005627B6"/>
    <w:rsid w:val="005942DF"/>
    <w:rsid w:val="005A445B"/>
    <w:rsid w:val="007E61E5"/>
    <w:rsid w:val="00AC6009"/>
    <w:rsid w:val="00C64AC5"/>
    <w:rsid w:val="00CB7FD3"/>
    <w:rsid w:val="00CC7D2F"/>
    <w:rsid w:val="00D85480"/>
    <w:rsid w:val="00EA2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5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531"/>
  </w:style>
  <w:style w:type="paragraph" w:styleId="Footer">
    <w:name w:val="footer"/>
    <w:basedOn w:val="Normal"/>
    <w:link w:val="FooterChar"/>
    <w:uiPriority w:val="99"/>
    <w:unhideWhenUsed/>
    <w:rsid w:val="000975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531"/>
  </w:style>
  <w:style w:type="paragraph" w:styleId="ListParagraph">
    <w:name w:val="List Paragraph"/>
    <w:basedOn w:val="Normal"/>
    <w:uiPriority w:val="34"/>
    <w:qFormat/>
    <w:rsid w:val="00C64A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5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531"/>
  </w:style>
  <w:style w:type="paragraph" w:styleId="Footer">
    <w:name w:val="footer"/>
    <w:basedOn w:val="Normal"/>
    <w:link w:val="FooterChar"/>
    <w:uiPriority w:val="99"/>
    <w:unhideWhenUsed/>
    <w:rsid w:val="000975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531"/>
  </w:style>
  <w:style w:type="paragraph" w:styleId="ListParagraph">
    <w:name w:val="List Paragraph"/>
    <w:basedOn w:val="Normal"/>
    <w:uiPriority w:val="34"/>
    <w:qFormat/>
    <w:rsid w:val="00C64A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2019-11-24T04:49:00Z</dcterms:created>
  <dcterms:modified xsi:type="dcterms:W3CDTF">2019-11-24T04:49:00Z</dcterms:modified>
</cp:coreProperties>
</file>